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7F9" w:rsidRPr="0009367F" w:rsidRDefault="00AD6F72" w:rsidP="003D5F10">
      <w:pPr>
        <w:spacing w:after="100" w:afterAutospacing="1" w:line="240" w:lineRule="auto"/>
        <w:contextualSpacing/>
        <w:rPr>
          <w:rFonts w:cs="Arial"/>
          <w:sz w:val="12"/>
          <w:szCs w:val="24"/>
        </w:rPr>
      </w:pPr>
      <w:bookmarkStart w:id="0" w:name="_GoBack"/>
      <w:bookmarkEnd w:id="0"/>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-328930</wp:posOffset>
                </wp:positionH>
                <wp:positionV relativeFrom="paragraph">
                  <wp:posOffset>-142240</wp:posOffset>
                </wp:positionV>
                <wp:extent cx="6355080" cy="8734425"/>
                <wp:effectExtent l="28575" t="28575" r="26670" b="28575"/>
                <wp:wrapNone/>
                <wp:docPr id="5"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5080" cy="8734425"/>
                        </a:xfrm>
                        <a:prstGeom prst="roundRect">
                          <a:avLst>
                            <a:gd name="adj" fmla="val 6963"/>
                          </a:avLst>
                        </a:prstGeom>
                        <a:noFill/>
                        <a:ln w="50800" algn="ctr">
                          <a:solidFill>
                            <a:srgbClr val="000099">
                              <a:alpha val="90195"/>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7C98C3C3" id="Rounded Rectangle 6" o:spid="_x0000_s1026" style="position:absolute;margin-left:-25.9pt;margin-top:-11.2pt;width:500.4pt;height:68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45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" filled="f" strokecolor="#009" strokeweight="4pt">
                <v:stroke opacity="59110f"/>
                <v:path arrowok="t"/>
              </v:roundrect>
            </w:pict>
          </mc:Fallback>
        </mc:AlternateContent>
      </w:r>
    </w:p>
    <w:p w:rsidR="009517F9" w:rsidRPr="0009367F" w:rsidRDefault="009517F9" w:rsidP="003D5F10">
      <w:pPr>
        <w:spacing w:after="100" w:afterAutospacing="1" w:line="240" w:lineRule="auto"/>
        <w:contextualSpacing/>
        <w:rPr>
          <w:rFonts w:cs="Arial"/>
          <w:b/>
          <w:color w:val="FF0066"/>
          <w:sz w:val="36"/>
          <w:szCs w:val="24"/>
        </w:rPr>
      </w:pPr>
      <w:r w:rsidRPr="0009367F">
        <w:rPr>
          <w:rFonts w:cs="Arial"/>
          <w:b/>
          <w:color w:val="FF0066"/>
          <w:sz w:val="36"/>
          <w:szCs w:val="24"/>
        </w:rPr>
        <w:t>Direct Payment Fact Sheet</w:t>
      </w:r>
      <w:r w:rsidR="00AE2D3E" w:rsidRPr="0009367F">
        <w:rPr>
          <w:rFonts w:cs="Arial"/>
          <w:b/>
          <w:color w:val="FF0066"/>
          <w:sz w:val="36"/>
          <w:szCs w:val="24"/>
        </w:rPr>
        <w:t xml:space="preserve"> </w:t>
      </w:r>
    </w:p>
    <w:p w:rsidR="009A4D85" w:rsidRPr="0009367F" w:rsidRDefault="009A4D85" w:rsidP="003D5F10">
      <w:pPr>
        <w:spacing w:after="100" w:afterAutospacing="1" w:line="240" w:lineRule="auto"/>
        <w:contextualSpacing/>
        <w:rPr>
          <w:rFonts w:cs="Arial"/>
          <w:b/>
          <w:color w:val="FF0066"/>
          <w:sz w:val="36"/>
          <w:szCs w:val="24"/>
        </w:rPr>
      </w:pPr>
      <w:r w:rsidRPr="0009367F">
        <w:rPr>
          <w:rFonts w:cs="Arial"/>
          <w:b/>
          <w:color w:val="FF0066"/>
          <w:sz w:val="36"/>
          <w:szCs w:val="24"/>
        </w:rPr>
        <w:t xml:space="preserve">Direct Payments &amp; Mental Health Legislation </w:t>
      </w:r>
    </w:p>
    <w:p w:rsidR="009A4D85" w:rsidRPr="0009367F" w:rsidRDefault="009A4D85" w:rsidP="003D5F10">
      <w:pPr>
        <w:spacing w:after="100" w:afterAutospacing="1" w:line="240" w:lineRule="auto"/>
        <w:contextualSpacing/>
        <w:rPr>
          <w:rFonts w:cs="Arial"/>
          <w:b/>
          <w:color w:val="FF0066"/>
          <w:sz w:val="36"/>
          <w:szCs w:val="24"/>
        </w:rPr>
      </w:pPr>
    </w:p>
    <w:p w:rsidR="003C7545" w:rsidRPr="003C7545" w:rsidRDefault="003C7545" w:rsidP="003D5F10">
      <w:pPr>
        <w:spacing w:after="0" w:line="240" w:lineRule="auto"/>
        <w:rPr>
          <w:rFonts w:cs="Arial"/>
          <w:color w:val="000000"/>
          <w:sz w:val="28"/>
          <w:szCs w:val="28"/>
          <w:lang w:val="en-US"/>
        </w:rPr>
      </w:pPr>
      <w:r w:rsidRPr="003C7545">
        <w:rPr>
          <w:rFonts w:cs="Arial"/>
          <w:color w:val="000000"/>
          <w:sz w:val="28"/>
          <w:szCs w:val="28"/>
          <w:lang w:val="en-US"/>
        </w:rPr>
        <w:t xml:space="preserve">This information sheet highlights some of the key elements in legislation and national guidance relating to Direct Payments for people receiving mental health services and their Carers. </w:t>
      </w:r>
    </w:p>
    <w:p w:rsidR="003C7545" w:rsidRPr="003C7545" w:rsidRDefault="003C7545" w:rsidP="003D5F10">
      <w:pPr>
        <w:spacing w:after="0" w:line="240" w:lineRule="auto"/>
        <w:rPr>
          <w:rFonts w:cs="Arial"/>
          <w:color w:val="000000"/>
          <w:sz w:val="28"/>
          <w:szCs w:val="28"/>
          <w:lang w:val="en-US"/>
        </w:rPr>
      </w:pPr>
    </w:p>
    <w:p w:rsidR="003C7545" w:rsidRPr="003C7545" w:rsidRDefault="003C7545" w:rsidP="003D5F10">
      <w:pPr>
        <w:spacing w:after="0" w:line="240" w:lineRule="auto"/>
        <w:rPr>
          <w:rFonts w:cs="Arial"/>
          <w:color w:val="000000"/>
          <w:sz w:val="28"/>
          <w:szCs w:val="28"/>
          <w:lang w:val="en-US"/>
        </w:rPr>
      </w:pPr>
      <w:r w:rsidRPr="003C7545">
        <w:rPr>
          <w:rFonts w:cs="Arial"/>
          <w:color w:val="000000"/>
          <w:sz w:val="28"/>
          <w:szCs w:val="28"/>
          <w:lang w:val="en-US"/>
        </w:rPr>
        <w:t xml:space="preserve">In short, there is a duty at assessment and review where an individual has assessed needs and a written care plan for an offer of Direct Payments to be made to the individual.  A conversation is required to explore how Direct Payments may assist in meeting needs identified in the care plan. </w:t>
      </w:r>
    </w:p>
    <w:p w:rsidR="003C7545" w:rsidRPr="003C7545" w:rsidRDefault="003C7545" w:rsidP="003D5F10">
      <w:pPr>
        <w:autoSpaceDE w:val="0"/>
        <w:autoSpaceDN w:val="0"/>
        <w:adjustRightInd w:val="0"/>
        <w:spacing w:after="0" w:line="240" w:lineRule="auto"/>
        <w:rPr>
          <w:rFonts w:cs="HelveticaNeueLT Std Lt"/>
          <w:color w:val="000000"/>
          <w:sz w:val="28"/>
          <w:szCs w:val="28"/>
          <w:lang w:eastAsia="en-GB"/>
        </w:rPr>
      </w:pPr>
    </w:p>
    <w:p w:rsidR="003C7545" w:rsidRPr="003C7545" w:rsidRDefault="003C7545" w:rsidP="003D5F10">
      <w:pPr>
        <w:autoSpaceDE w:val="0"/>
        <w:autoSpaceDN w:val="0"/>
        <w:adjustRightInd w:val="0"/>
        <w:spacing w:after="0" w:line="240" w:lineRule="auto"/>
        <w:rPr>
          <w:rFonts w:cs="HelveticaNeueLT Std Lt"/>
          <w:i/>
          <w:iCs/>
          <w:color w:val="000000"/>
          <w:sz w:val="28"/>
          <w:szCs w:val="28"/>
          <w:lang w:eastAsia="en-GB"/>
        </w:rPr>
      </w:pPr>
      <w:r w:rsidRPr="003C7545">
        <w:rPr>
          <w:rFonts w:cs="HelveticaNeueLT Std Lt"/>
          <w:color w:val="000000"/>
          <w:sz w:val="28"/>
          <w:szCs w:val="28"/>
          <w:lang w:eastAsia="en-GB"/>
        </w:rPr>
        <w:t xml:space="preserve">Direct payments are monetary payments made to individuals who request to receive one to meet some or all of their eligible care and support needs.  The legislative context for direct payments is set out in the Care Act, Section 117(2C) of the Mental Health Act 1983 (the 1983 Act) and the </w:t>
      </w:r>
      <w:r w:rsidRPr="003C7545">
        <w:rPr>
          <w:rFonts w:cs="HelveticaNeueLT Std Lt"/>
          <w:i/>
          <w:iCs/>
          <w:color w:val="000000"/>
          <w:sz w:val="28"/>
          <w:szCs w:val="28"/>
          <w:lang w:eastAsia="en-GB"/>
        </w:rPr>
        <w:t>Care and Support (Direct Payments) Regulations 2014.</w:t>
      </w:r>
    </w:p>
    <w:p w:rsidR="003C7545" w:rsidRPr="003C7545" w:rsidRDefault="003C7545" w:rsidP="003D5F10">
      <w:pPr>
        <w:autoSpaceDE w:val="0"/>
        <w:autoSpaceDN w:val="0"/>
        <w:adjustRightInd w:val="0"/>
        <w:spacing w:after="0" w:line="240" w:lineRule="auto"/>
        <w:rPr>
          <w:rFonts w:cs="HelveticaNeueLT Std Lt"/>
          <w:i/>
          <w:iCs/>
          <w:color w:val="000000"/>
          <w:sz w:val="28"/>
          <w:szCs w:val="28"/>
          <w:lang w:eastAsia="en-GB"/>
        </w:rPr>
      </w:pPr>
    </w:p>
    <w:p w:rsidR="003C7545" w:rsidRPr="003C7545" w:rsidRDefault="003C7545" w:rsidP="003D5F10">
      <w:pPr>
        <w:autoSpaceDE w:val="0"/>
        <w:autoSpaceDN w:val="0"/>
        <w:adjustRightInd w:val="0"/>
        <w:spacing w:after="0" w:line="240" w:lineRule="auto"/>
        <w:rPr>
          <w:rFonts w:cs="HelveticaNeueLT Std Lt"/>
          <w:color w:val="000000"/>
          <w:sz w:val="28"/>
          <w:szCs w:val="28"/>
          <w:lang w:eastAsia="en-GB"/>
        </w:rPr>
      </w:pPr>
      <w:r w:rsidRPr="003C7545">
        <w:rPr>
          <w:rFonts w:cs="HelveticaNeueLT Std Lt"/>
          <w:color w:val="000000"/>
          <w:sz w:val="28"/>
          <w:szCs w:val="28"/>
          <w:lang w:eastAsia="en-GB"/>
        </w:rPr>
        <w:t>This guidance supersedes the 2009 guidance on direct payments, and reflects the new legislative framework.</w:t>
      </w:r>
    </w:p>
    <w:p w:rsidR="00DD740F" w:rsidRDefault="00DD740F" w:rsidP="003D5F10">
      <w:pPr>
        <w:spacing w:after="100" w:afterAutospacing="1" w:line="240" w:lineRule="auto"/>
        <w:contextualSpacing/>
        <w:rPr>
          <w:rFonts w:cs="Arial"/>
          <w:bCs/>
          <w:sz w:val="28"/>
          <w:szCs w:val="24"/>
          <w:lang w:val="en-US"/>
        </w:rPr>
      </w:pPr>
    </w:p>
    <w:p w:rsidR="003C7545" w:rsidRPr="003C7545" w:rsidRDefault="003C7545" w:rsidP="003D5F10">
      <w:pPr>
        <w:spacing w:after="100" w:afterAutospacing="1" w:line="240" w:lineRule="auto"/>
        <w:contextualSpacing/>
        <w:rPr>
          <w:rFonts w:cs="Arial"/>
          <w:bCs/>
          <w:sz w:val="28"/>
          <w:szCs w:val="24"/>
          <w:lang w:val="en-US"/>
        </w:rPr>
      </w:pPr>
      <w:r w:rsidRPr="003C7545">
        <w:rPr>
          <w:rFonts w:cs="Arial"/>
          <w:bCs/>
          <w:sz w:val="28"/>
          <w:szCs w:val="24"/>
          <w:lang w:val="en-US"/>
        </w:rPr>
        <w:t>Direct payments have been in use in adult care and support since the mid-1990s and they remain the Government’s preferred mechanism for personalised care and support.  They provide independence, choice and control by enabling people to commission their own care and support in order to meet their eligible needs.</w:t>
      </w:r>
    </w:p>
    <w:p w:rsidR="003C7545" w:rsidRPr="003C7545" w:rsidRDefault="003C7545" w:rsidP="003D5F10">
      <w:pPr>
        <w:spacing w:after="100" w:afterAutospacing="1" w:line="240" w:lineRule="auto"/>
        <w:contextualSpacing/>
        <w:rPr>
          <w:rFonts w:cs="Arial"/>
          <w:bCs/>
          <w:sz w:val="28"/>
          <w:szCs w:val="24"/>
          <w:lang w:val="en-US"/>
        </w:rPr>
      </w:pPr>
    </w:p>
    <w:p w:rsidR="003C7545" w:rsidRPr="0009367F" w:rsidRDefault="003C7545" w:rsidP="003D5F10">
      <w:pPr>
        <w:spacing w:after="100" w:afterAutospacing="1" w:line="240" w:lineRule="auto"/>
        <w:contextualSpacing/>
        <w:rPr>
          <w:rFonts w:cs="Arial"/>
          <w:bCs/>
          <w:sz w:val="28"/>
          <w:szCs w:val="24"/>
          <w:lang w:val="en-US"/>
        </w:rPr>
      </w:pPr>
      <w:r w:rsidRPr="003C7545">
        <w:rPr>
          <w:rFonts w:cs="Arial"/>
          <w:bCs/>
          <w:sz w:val="28"/>
          <w:szCs w:val="24"/>
          <w:lang w:val="en-US"/>
        </w:rPr>
        <w:t>Direct payments, along with personal budgets and personalised care planning, mandated for the first time in the Care Act, provide the platform with which to deliver a modern care and support system.  People should be encouraged to take ownership of their care planning, and be free to choose how their needs are met, whether through local authority or third-party provision, by direct payments, or a combination of the three approaches.</w:t>
      </w:r>
    </w:p>
    <w:p w:rsidR="00320C95" w:rsidRDefault="00320C95" w:rsidP="003D5F10">
      <w:pPr>
        <w:spacing w:after="100" w:afterAutospacing="1" w:line="240" w:lineRule="auto"/>
        <w:contextualSpacing/>
        <w:rPr>
          <w:rFonts w:cs="Arial"/>
          <w:bCs/>
          <w:sz w:val="28"/>
          <w:szCs w:val="24"/>
          <w:lang w:val="en-US"/>
        </w:rPr>
      </w:pPr>
    </w:p>
    <w:p w:rsidR="003D5F10" w:rsidRPr="0009367F" w:rsidRDefault="003D5F10" w:rsidP="003D5F10">
      <w:pPr>
        <w:spacing w:after="100" w:afterAutospacing="1" w:line="240" w:lineRule="auto"/>
        <w:contextualSpacing/>
        <w:rPr>
          <w:rFonts w:cs="Arial"/>
          <w:bCs/>
          <w:sz w:val="28"/>
          <w:szCs w:val="24"/>
          <w:lang w:val="en-US"/>
        </w:rPr>
      </w:pPr>
    </w:p>
    <w:p w:rsidR="003C7545" w:rsidRPr="008A45F0" w:rsidRDefault="003C7545" w:rsidP="003D5F10">
      <w:pPr>
        <w:pStyle w:val="Default"/>
        <w:rPr>
          <w:rFonts w:asciiTheme="minorHAnsi" w:hAnsiTheme="minorHAnsi"/>
          <w:sz w:val="28"/>
          <w:szCs w:val="28"/>
        </w:rPr>
      </w:pPr>
      <w:r w:rsidRPr="008A45F0">
        <w:rPr>
          <w:rFonts w:asciiTheme="minorHAnsi" w:hAnsiTheme="minorHAnsi"/>
          <w:sz w:val="28"/>
          <w:szCs w:val="28"/>
        </w:rPr>
        <w:lastRenderedPageBreak/>
        <w:t xml:space="preserve">For </w:t>
      </w:r>
      <w:r>
        <w:rPr>
          <w:rFonts w:asciiTheme="minorHAnsi" w:hAnsiTheme="minorHAnsi"/>
          <w:sz w:val="28"/>
          <w:szCs w:val="28"/>
        </w:rPr>
        <w:t>D</w:t>
      </w:r>
      <w:r w:rsidRPr="008A45F0">
        <w:rPr>
          <w:rFonts w:asciiTheme="minorHAnsi" w:hAnsiTheme="minorHAnsi"/>
          <w:sz w:val="28"/>
          <w:szCs w:val="28"/>
        </w:rPr>
        <w:t xml:space="preserve">irect </w:t>
      </w:r>
      <w:r>
        <w:rPr>
          <w:rFonts w:asciiTheme="minorHAnsi" w:hAnsiTheme="minorHAnsi"/>
          <w:sz w:val="28"/>
          <w:szCs w:val="28"/>
        </w:rPr>
        <w:t>P</w:t>
      </w:r>
      <w:r w:rsidRPr="008A45F0">
        <w:rPr>
          <w:rFonts w:asciiTheme="minorHAnsi" w:hAnsiTheme="minorHAnsi"/>
          <w:sz w:val="28"/>
          <w:szCs w:val="28"/>
        </w:rPr>
        <w:t xml:space="preserve">ayments to have the processes involved in administering and monitoring the payment should incorporate the minimal elements to allow </w:t>
      </w:r>
      <w:r w:rsidR="003D5F10">
        <w:rPr>
          <w:noProof/>
        </w:rPr>
        <mc:AlternateContent>
          <mc:Choice Requires="wps">
            <w:drawing>
              <wp:anchor distT="0" distB="0" distL="114300" distR="114300" simplePos="0" relativeHeight="251665408" behindDoc="0" locked="0" layoutInCell="1" allowOverlap="1" wp14:anchorId="3FE922B0" wp14:editId="6DE4A1DC">
                <wp:simplePos x="0" y="0"/>
                <wp:positionH relativeFrom="column">
                  <wp:posOffset>-297180</wp:posOffset>
                </wp:positionH>
                <wp:positionV relativeFrom="paragraph">
                  <wp:posOffset>-236220</wp:posOffset>
                </wp:positionV>
                <wp:extent cx="6355080" cy="8734425"/>
                <wp:effectExtent l="28575" t="28575" r="26670" b="2857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5080" cy="8734425"/>
                        </a:xfrm>
                        <a:prstGeom prst="roundRect">
                          <a:avLst>
                            <a:gd name="adj" fmla="val 6963"/>
                          </a:avLst>
                        </a:prstGeom>
                        <a:noFill/>
                        <a:ln w="50800" algn="ctr">
                          <a:solidFill>
                            <a:srgbClr val="000099">
                              <a:alpha val="90195"/>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5CE2DE67" id="Rounded Rectangle 6" o:spid="_x0000_s1026" style="position:absolute;margin-left:-23.4pt;margin-top:-18.6pt;width:500.4pt;height:68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45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" filled="f" strokecolor="#009" strokeweight="4pt">
                <v:stroke opacity="59110f"/>
                <v:path arrowok="t"/>
              </v:roundrect>
            </w:pict>
          </mc:Fallback>
        </mc:AlternateContent>
      </w:r>
      <w:r w:rsidRPr="008A45F0">
        <w:rPr>
          <w:rFonts w:asciiTheme="minorHAnsi" w:hAnsiTheme="minorHAnsi"/>
          <w:sz w:val="28"/>
          <w:szCs w:val="28"/>
        </w:rPr>
        <w:t xml:space="preserve">the local authority to fulfil its statutory responsibilities. </w:t>
      </w:r>
      <w:r>
        <w:rPr>
          <w:rFonts w:asciiTheme="minorHAnsi" w:hAnsiTheme="minorHAnsi"/>
          <w:sz w:val="28"/>
          <w:szCs w:val="28"/>
        </w:rPr>
        <w:t xml:space="preserve"> </w:t>
      </w:r>
      <w:r w:rsidRPr="008A45F0">
        <w:rPr>
          <w:rFonts w:asciiTheme="minorHAnsi" w:hAnsiTheme="minorHAnsi"/>
          <w:sz w:val="28"/>
          <w:szCs w:val="28"/>
        </w:rPr>
        <w:t xml:space="preserve">These processes </w:t>
      </w:r>
      <w:r w:rsidRPr="008A45F0">
        <w:rPr>
          <w:rFonts w:asciiTheme="minorHAnsi" w:hAnsiTheme="minorHAnsi" w:cs="HelveticaNeueLT Std Med"/>
          <w:sz w:val="28"/>
          <w:szCs w:val="28"/>
        </w:rPr>
        <w:t xml:space="preserve">must not </w:t>
      </w:r>
      <w:r w:rsidRPr="008A45F0">
        <w:rPr>
          <w:rFonts w:asciiTheme="minorHAnsi" w:hAnsiTheme="minorHAnsi"/>
          <w:sz w:val="28"/>
          <w:szCs w:val="28"/>
        </w:rPr>
        <w:t xml:space="preserve">restrict choice or stifle innovation, and </w:t>
      </w:r>
      <w:r w:rsidRPr="008A45F0">
        <w:rPr>
          <w:rFonts w:asciiTheme="minorHAnsi" w:hAnsiTheme="minorHAnsi" w:cs="HelveticaNeueLT Std Med"/>
          <w:sz w:val="28"/>
          <w:szCs w:val="28"/>
        </w:rPr>
        <w:t xml:space="preserve">must not </w:t>
      </w:r>
      <w:r w:rsidRPr="008A45F0">
        <w:rPr>
          <w:rFonts w:asciiTheme="minorHAnsi" w:hAnsiTheme="minorHAnsi"/>
          <w:sz w:val="28"/>
          <w:szCs w:val="28"/>
        </w:rPr>
        <w:t xml:space="preserve">place undue burdens on people to provide information to the local authority. </w:t>
      </w:r>
    </w:p>
    <w:p w:rsidR="003C7545" w:rsidRPr="008A45F0" w:rsidRDefault="003C7545" w:rsidP="003D5F10">
      <w:pPr>
        <w:pStyle w:val="Notesnumberedbullet"/>
        <w:numPr>
          <w:ilvl w:val="0"/>
          <w:numId w:val="0"/>
        </w:numPr>
        <w:spacing w:after="0"/>
        <w:rPr>
          <w:rFonts w:asciiTheme="minorHAnsi" w:hAnsiTheme="minorHAnsi"/>
          <w:sz w:val="28"/>
          <w:szCs w:val="28"/>
        </w:rPr>
      </w:pPr>
    </w:p>
    <w:p w:rsidR="003C7545" w:rsidRDefault="003D5F10" w:rsidP="003D5F10">
      <w:pPr>
        <w:pStyle w:val="Notesnumberedbullet"/>
        <w:numPr>
          <w:ilvl w:val="0"/>
          <w:numId w:val="0"/>
        </w:numPr>
        <w:spacing w:after="0"/>
        <w:ind w:hanging="426"/>
        <w:rPr>
          <w:rFonts w:asciiTheme="minorHAnsi" w:hAnsiTheme="minorHAnsi"/>
          <w:sz w:val="28"/>
          <w:szCs w:val="28"/>
        </w:rPr>
      </w:pPr>
      <w:r>
        <w:rPr>
          <w:rFonts w:asciiTheme="minorHAnsi" w:hAnsiTheme="minorHAnsi"/>
          <w:sz w:val="28"/>
          <w:szCs w:val="28"/>
        </w:rPr>
        <w:tab/>
      </w:r>
      <w:r w:rsidR="003C7545" w:rsidRPr="008A45F0">
        <w:rPr>
          <w:rFonts w:asciiTheme="minorHAnsi" w:hAnsiTheme="minorHAnsi"/>
          <w:sz w:val="28"/>
          <w:szCs w:val="28"/>
        </w:rPr>
        <w:t xml:space="preserve">The Care Act 2014 confirms personal budgets </w:t>
      </w:r>
      <w:r>
        <w:rPr>
          <w:rFonts w:asciiTheme="minorHAnsi" w:hAnsiTheme="minorHAnsi"/>
          <w:sz w:val="28"/>
          <w:szCs w:val="28"/>
        </w:rPr>
        <w:t xml:space="preserve">in law for people with eligible </w:t>
      </w:r>
      <w:r w:rsidR="003C7545" w:rsidRPr="008A45F0">
        <w:rPr>
          <w:rFonts w:asciiTheme="minorHAnsi" w:hAnsiTheme="minorHAnsi"/>
          <w:sz w:val="28"/>
          <w:szCs w:val="28"/>
        </w:rPr>
        <w:t>assessed needs and carers, including the right to direct payment.</w:t>
      </w:r>
      <w:r w:rsidR="003C5C63">
        <w:rPr>
          <w:rFonts w:asciiTheme="minorHAnsi" w:hAnsiTheme="minorHAnsi"/>
          <w:sz w:val="28"/>
          <w:szCs w:val="28"/>
        </w:rPr>
        <w:t xml:space="preserve"> </w:t>
      </w:r>
      <w:r w:rsidR="003C7545" w:rsidRPr="008A45F0">
        <w:rPr>
          <w:rFonts w:asciiTheme="minorHAnsi" w:hAnsiTheme="minorHAnsi"/>
          <w:sz w:val="28"/>
          <w:szCs w:val="28"/>
        </w:rPr>
        <w:t xml:space="preserve"> Care and Support (Direct Payments) Regulations 2014.</w:t>
      </w:r>
    </w:p>
    <w:p w:rsidR="003C7545" w:rsidRDefault="003C7545" w:rsidP="003D5F10">
      <w:pPr>
        <w:pStyle w:val="Notesnumberedbullet"/>
        <w:numPr>
          <w:ilvl w:val="0"/>
          <w:numId w:val="0"/>
        </w:numPr>
        <w:spacing w:after="0"/>
        <w:rPr>
          <w:rFonts w:asciiTheme="minorHAnsi" w:hAnsiTheme="minorHAnsi"/>
          <w:sz w:val="28"/>
          <w:szCs w:val="28"/>
        </w:rPr>
      </w:pPr>
    </w:p>
    <w:p w:rsidR="003C7545" w:rsidRPr="003C7545" w:rsidRDefault="003C7545" w:rsidP="003D5F10">
      <w:pPr>
        <w:spacing w:after="0" w:line="240" w:lineRule="auto"/>
        <w:rPr>
          <w:rFonts w:cs="Arial"/>
          <w:bCs/>
          <w:sz w:val="28"/>
          <w:szCs w:val="28"/>
          <w:lang w:val="en-US"/>
        </w:rPr>
      </w:pPr>
      <w:r w:rsidRPr="003C7545">
        <w:rPr>
          <w:rFonts w:cs="Arial"/>
          <w:bCs/>
          <w:sz w:val="28"/>
          <w:szCs w:val="28"/>
          <w:lang w:val="en-US"/>
        </w:rPr>
        <w:t>People assessed as having eligible needs should not be put off accepting direct payments by a lack of adequate information about how their needs can be met. Putting practical arrangements in place for self-directed support may take longer in some cases, but whether someone opts for direct payments or council-provided services, there should be no significant difference in the ease of the process.</w:t>
      </w:r>
    </w:p>
    <w:p w:rsidR="003C7545" w:rsidRPr="003C7545" w:rsidRDefault="003C7545" w:rsidP="003D5F10">
      <w:pPr>
        <w:spacing w:after="0" w:line="240" w:lineRule="auto"/>
        <w:rPr>
          <w:rFonts w:eastAsia="Calibri" w:cs="Arial"/>
          <w:bCs/>
          <w:sz w:val="28"/>
          <w:szCs w:val="28"/>
          <w:lang w:val="en-US"/>
        </w:rPr>
      </w:pPr>
    </w:p>
    <w:p w:rsidR="003C7545" w:rsidRPr="003C7545" w:rsidRDefault="003C7545" w:rsidP="003D5F10">
      <w:pPr>
        <w:spacing w:after="0" w:line="240" w:lineRule="auto"/>
        <w:rPr>
          <w:rFonts w:cs="Arial"/>
          <w:bCs/>
          <w:color w:val="000000"/>
          <w:sz w:val="28"/>
          <w:szCs w:val="28"/>
          <w:lang w:val="en-US"/>
        </w:rPr>
      </w:pPr>
      <w:r w:rsidRPr="003C7545">
        <w:rPr>
          <w:rFonts w:cs="Arial"/>
          <w:bCs/>
          <w:color w:val="000000"/>
          <w:sz w:val="28"/>
          <w:szCs w:val="28"/>
          <w:lang w:val="en-US"/>
        </w:rPr>
        <w:t xml:space="preserve">The Health and Social Care Act 2008 amended the Health and Social Care Act 2001 to extend the scope of direct payments to include adults lacking capacity to consent to their receipt. A number of exclusions previously placed upon individuals subject to mental health legislation and to provisions of criminal justice legislation relating to mental disorder have also been lifted. </w:t>
      </w:r>
    </w:p>
    <w:p w:rsidR="003C7545" w:rsidRPr="003C7545" w:rsidRDefault="003C7545" w:rsidP="003D5F10">
      <w:pPr>
        <w:spacing w:after="0" w:line="240" w:lineRule="auto"/>
        <w:rPr>
          <w:rFonts w:eastAsia="Calibri" w:cs="Arial"/>
          <w:bCs/>
          <w:color w:val="000000"/>
          <w:sz w:val="28"/>
          <w:szCs w:val="28"/>
          <w:lang w:val="en-US"/>
        </w:rPr>
      </w:pPr>
    </w:p>
    <w:p w:rsidR="003C7545" w:rsidRPr="003C7545" w:rsidRDefault="003C7545" w:rsidP="003D5F10">
      <w:pPr>
        <w:autoSpaceDE w:val="0"/>
        <w:autoSpaceDN w:val="0"/>
        <w:spacing w:after="0" w:line="240" w:lineRule="auto"/>
        <w:rPr>
          <w:rFonts w:cs="Arial"/>
          <w:bCs/>
          <w:color w:val="000000"/>
          <w:sz w:val="28"/>
          <w:szCs w:val="28"/>
          <w:lang w:val="en-US"/>
        </w:rPr>
      </w:pPr>
      <w:r w:rsidRPr="003C7545">
        <w:rPr>
          <w:rFonts w:cs="Arial"/>
          <w:bCs/>
          <w:sz w:val="28"/>
          <w:szCs w:val="28"/>
          <w:lang w:val="en-US"/>
        </w:rPr>
        <w:t xml:space="preserve">It is expected that, in most cases, people subject to mental health legislation will now enjoy exactly the same rights to direct payments as anyone else. However, in a few cases, councils will have a power (but not a duty) to make direct payments to such people. </w:t>
      </w:r>
    </w:p>
    <w:p w:rsidR="003C7545" w:rsidRPr="003C7545" w:rsidRDefault="003C7545" w:rsidP="003D5F10">
      <w:pPr>
        <w:spacing w:after="0" w:line="240" w:lineRule="auto"/>
        <w:rPr>
          <w:rFonts w:eastAsia="Calibri" w:cs="Arial"/>
          <w:bCs/>
          <w:color w:val="000000"/>
          <w:sz w:val="28"/>
          <w:szCs w:val="28"/>
        </w:rPr>
      </w:pPr>
    </w:p>
    <w:p w:rsidR="003C7545" w:rsidRPr="003C7545" w:rsidRDefault="003C7545" w:rsidP="003D5F10">
      <w:pPr>
        <w:spacing w:after="0" w:line="240" w:lineRule="auto"/>
        <w:rPr>
          <w:rFonts w:cs="Arial"/>
          <w:bCs/>
          <w:color w:val="000000"/>
          <w:sz w:val="28"/>
          <w:szCs w:val="28"/>
          <w:lang w:val="en-US"/>
        </w:rPr>
      </w:pPr>
      <w:r w:rsidRPr="003C7545">
        <w:rPr>
          <w:rFonts w:cs="Arial"/>
          <w:bCs/>
          <w:sz w:val="28"/>
          <w:szCs w:val="28"/>
          <w:lang w:val="en-US"/>
        </w:rPr>
        <w:t>Under the Regulations, councils now have a power (although not a duty) to make direct payments to people (‘restricted patients’) who are conditionally discharged under the 1983 Act (or the equivalent Scottish legislation).  By definition, conditionally discharged restricted patients are offenders who have been detained in hospital under the 1983 Act (or the equivalent Scottish legislation) and who remain liable to recall to hospital if necessary for their own health and safety or the protection of others</w:t>
      </w:r>
      <w:r w:rsidRPr="003C7545">
        <w:rPr>
          <w:sz w:val="28"/>
          <w:szCs w:val="28"/>
          <w:lang w:val="en-US"/>
        </w:rPr>
        <w:t>.</w:t>
      </w:r>
    </w:p>
    <w:p w:rsidR="003C7545" w:rsidRPr="003C7545" w:rsidRDefault="003C7545" w:rsidP="003D5F10">
      <w:pPr>
        <w:spacing w:after="0" w:line="240" w:lineRule="auto"/>
        <w:rPr>
          <w:rFonts w:eastAsia="Calibri" w:cs="Arial"/>
          <w:bCs/>
          <w:color w:val="000000"/>
          <w:sz w:val="28"/>
          <w:szCs w:val="28"/>
          <w:lang w:val="en-US"/>
        </w:rPr>
      </w:pPr>
    </w:p>
    <w:p w:rsidR="003D5F10" w:rsidRDefault="003D5F10" w:rsidP="003D5F10">
      <w:pPr>
        <w:spacing w:after="0" w:line="240" w:lineRule="auto"/>
        <w:rPr>
          <w:rFonts w:cs="Arial"/>
          <w:bCs/>
          <w:color w:val="000000"/>
          <w:sz w:val="28"/>
          <w:szCs w:val="28"/>
          <w:lang w:val="en-US"/>
        </w:rPr>
      </w:pPr>
    </w:p>
    <w:p w:rsidR="003D5F10" w:rsidRDefault="003D5F10" w:rsidP="003D5F10">
      <w:pPr>
        <w:spacing w:after="0" w:line="240" w:lineRule="auto"/>
        <w:rPr>
          <w:rFonts w:cs="Arial"/>
          <w:bCs/>
          <w:color w:val="000000"/>
          <w:sz w:val="28"/>
          <w:szCs w:val="28"/>
          <w:lang w:val="en-US"/>
        </w:rPr>
      </w:pPr>
      <w:r>
        <w:rPr>
          <w:noProof/>
          <w:lang w:eastAsia="en-GB"/>
        </w:rPr>
        <w:lastRenderedPageBreak/>
        <mc:AlternateContent>
          <mc:Choice Requires="wps">
            <w:drawing>
              <wp:anchor distT="0" distB="0" distL="114300" distR="114300" simplePos="0" relativeHeight="251666432" behindDoc="0" locked="0" layoutInCell="1" allowOverlap="1" wp14:anchorId="19B56204" wp14:editId="5E7DEF9E">
                <wp:simplePos x="0" y="0"/>
                <wp:positionH relativeFrom="column">
                  <wp:posOffset>-298450</wp:posOffset>
                </wp:positionH>
                <wp:positionV relativeFrom="paragraph">
                  <wp:posOffset>-53339</wp:posOffset>
                </wp:positionV>
                <wp:extent cx="6355080" cy="8679180"/>
                <wp:effectExtent l="19050" t="19050" r="45720" b="4572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5080" cy="8679180"/>
                        </a:xfrm>
                        <a:prstGeom prst="roundRect">
                          <a:avLst>
                            <a:gd name="adj" fmla="val 6963"/>
                          </a:avLst>
                        </a:prstGeom>
                        <a:noFill/>
                        <a:ln w="50800" algn="ctr">
                          <a:solidFill>
                            <a:srgbClr val="000099">
                              <a:alpha val="90195"/>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3ABECD97" id="Rounded Rectangle 9" o:spid="_x0000_s1026" style="position:absolute;margin-left:-23.5pt;margin-top:-4.2pt;width:500.4pt;height:68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45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" filled="f" strokecolor="#009" strokeweight="4pt">
                <v:stroke opacity="59110f"/>
                <v:path arrowok="t"/>
              </v:roundrect>
            </w:pict>
          </mc:Fallback>
        </mc:AlternateContent>
      </w:r>
    </w:p>
    <w:p w:rsidR="003C7545" w:rsidRPr="003C7545" w:rsidRDefault="003C7545" w:rsidP="003D5F10">
      <w:pPr>
        <w:spacing w:after="0" w:line="240" w:lineRule="auto"/>
        <w:rPr>
          <w:rFonts w:cs="Arial"/>
          <w:bCs/>
          <w:color w:val="000000"/>
          <w:sz w:val="28"/>
          <w:szCs w:val="28"/>
          <w:lang w:val="en-US"/>
        </w:rPr>
      </w:pPr>
      <w:r w:rsidRPr="003C7545">
        <w:rPr>
          <w:rFonts w:cs="Arial"/>
          <w:bCs/>
          <w:color w:val="000000"/>
          <w:sz w:val="28"/>
          <w:szCs w:val="28"/>
          <w:lang w:val="en-US"/>
        </w:rPr>
        <w:t>For example, if it is a condition of a person’s community treatment order under the Mental Health Act 1983 that they accept a particular type of Community care service, then the council would have a power, but not a duty, to make direct payments in respect of that service (provided, of course, all the other criteria for making direct payments is met)</w:t>
      </w:r>
    </w:p>
    <w:p w:rsidR="003C7545" w:rsidRPr="003C7545" w:rsidRDefault="003C7545" w:rsidP="003D5F10">
      <w:pPr>
        <w:autoSpaceDE w:val="0"/>
        <w:autoSpaceDN w:val="0"/>
        <w:spacing w:after="0" w:line="240" w:lineRule="auto"/>
        <w:rPr>
          <w:rFonts w:cs="Arial"/>
          <w:bCs/>
          <w:color w:val="000000"/>
          <w:sz w:val="28"/>
          <w:szCs w:val="28"/>
          <w:lang w:val="en-US"/>
        </w:rPr>
      </w:pPr>
    </w:p>
    <w:p w:rsidR="003C7545" w:rsidRPr="003C7545" w:rsidRDefault="003C7545" w:rsidP="003D5F10">
      <w:pPr>
        <w:autoSpaceDE w:val="0"/>
        <w:autoSpaceDN w:val="0"/>
        <w:spacing w:after="0" w:line="240" w:lineRule="auto"/>
        <w:rPr>
          <w:rFonts w:cs="Arial"/>
          <w:bCs/>
          <w:sz w:val="28"/>
          <w:szCs w:val="28"/>
          <w:lang w:val="en-US"/>
        </w:rPr>
      </w:pPr>
      <w:r w:rsidRPr="003C7545">
        <w:rPr>
          <w:rFonts w:cs="Arial"/>
          <w:bCs/>
          <w:sz w:val="28"/>
          <w:szCs w:val="28"/>
          <w:lang w:val="en-US"/>
        </w:rPr>
        <w:t>Where councils decide that it is not appropriate to make direct payments, they should put the reasons for the decision in writing, and make a written record available to the individual.  They should also inform the individual about how to access complaints procedures if they are not satisfied with the decision of the council.</w:t>
      </w:r>
    </w:p>
    <w:p w:rsidR="00DD740F" w:rsidRPr="0009367F" w:rsidRDefault="00DD740F" w:rsidP="003D5F10">
      <w:pPr>
        <w:autoSpaceDE w:val="0"/>
        <w:autoSpaceDN w:val="0"/>
        <w:spacing w:after="100" w:afterAutospacing="1" w:line="240" w:lineRule="auto"/>
        <w:contextualSpacing/>
        <w:rPr>
          <w:rFonts w:eastAsia="Calibri" w:cs="Arial"/>
          <w:bCs/>
          <w:color w:val="000000"/>
          <w:sz w:val="32"/>
          <w:szCs w:val="24"/>
          <w:lang w:val="en-US"/>
        </w:rPr>
      </w:pPr>
    </w:p>
    <w:p w:rsidR="00704A60" w:rsidRDefault="00704A60" w:rsidP="003D5F10">
      <w:pPr>
        <w:spacing w:after="100" w:afterAutospacing="1" w:line="240" w:lineRule="auto"/>
        <w:contextualSpacing/>
        <w:rPr>
          <w:rFonts w:cs="Arial"/>
          <w:b/>
          <w:color w:val="FF33CC"/>
          <w:sz w:val="28"/>
          <w:szCs w:val="28"/>
        </w:rPr>
      </w:pPr>
    </w:p>
    <w:p w:rsidR="00704A60" w:rsidRDefault="00704A60" w:rsidP="003D5F10">
      <w:pPr>
        <w:spacing w:after="100" w:afterAutospacing="1" w:line="240" w:lineRule="auto"/>
        <w:contextualSpacing/>
        <w:rPr>
          <w:rFonts w:cs="Arial"/>
          <w:b/>
          <w:color w:val="FF33CC"/>
          <w:sz w:val="28"/>
          <w:szCs w:val="28"/>
        </w:rPr>
      </w:pPr>
    </w:p>
    <w:p w:rsidR="003D5F10" w:rsidRDefault="003D5F10" w:rsidP="003D5F10">
      <w:pPr>
        <w:spacing w:after="100" w:afterAutospacing="1" w:line="240" w:lineRule="auto"/>
        <w:contextualSpacing/>
        <w:rPr>
          <w:rFonts w:cs="Arial"/>
          <w:b/>
          <w:color w:val="FF33CC"/>
          <w:sz w:val="28"/>
          <w:szCs w:val="28"/>
        </w:rPr>
      </w:pPr>
    </w:p>
    <w:p w:rsidR="003D5F10" w:rsidRDefault="003D5F10" w:rsidP="003D5F10">
      <w:pPr>
        <w:spacing w:after="100" w:afterAutospacing="1" w:line="240" w:lineRule="auto"/>
        <w:contextualSpacing/>
        <w:rPr>
          <w:rFonts w:cs="Arial"/>
          <w:b/>
          <w:color w:val="FF33CC"/>
          <w:sz w:val="28"/>
          <w:szCs w:val="28"/>
        </w:rPr>
      </w:pPr>
    </w:p>
    <w:p w:rsidR="009517F9" w:rsidRPr="00704A60" w:rsidRDefault="009517F9" w:rsidP="003D5F10">
      <w:pPr>
        <w:spacing w:after="100" w:afterAutospacing="1" w:line="240" w:lineRule="auto"/>
        <w:contextualSpacing/>
        <w:rPr>
          <w:rFonts w:cs="Arial"/>
          <w:b/>
          <w:color w:val="FF33CC"/>
          <w:sz w:val="36"/>
          <w:szCs w:val="28"/>
        </w:rPr>
      </w:pPr>
      <w:r w:rsidRPr="00704A60">
        <w:rPr>
          <w:rFonts w:cs="Arial"/>
          <w:b/>
          <w:color w:val="FF33CC"/>
          <w:sz w:val="36"/>
          <w:szCs w:val="28"/>
        </w:rPr>
        <w:t xml:space="preserve">Remember, if you are unsure, have any queries or need additional </w:t>
      </w:r>
      <w:r w:rsidR="00241F28" w:rsidRPr="00704A60">
        <w:rPr>
          <w:rFonts w:cs="Arial"/>
          <w:b/>
          <w:color w:val="FF33CC"/>
          <w:sz w:val="36"/>
          <w:szCs w:val="28"/>
        </w:rPr>
        <w:t>support;</w:t>
      </w:r>
      <w:r w:rsidRPr="00704A60">
        <w:rPr>
          <w:rFonts w:cs="Arial"/>
          <w:b/>
          <w:color w:val="FF33CC"/>
          <w:sz w:val="36"/>
          <w:szCs w:val="28"/>
        </w:rPr>
        <w:t xml:space="preserve"> please contact the Direct Payments Team here at KDC.</w:t>
      </w:r>
    </w:p>
    <w:p w:rsidR="00320C95" w:rsidRPr="0009367F" w:rsidRDefault="00320C95" w:rsidP="003D5F10">
      <w:pPr>
        <w:spacing w:after="100" w:afterAutospacing="1" w:line="240" w:lineRule="auto"/>
        <w:contextualSpacing/>
        <w:rPr>
          <w:rFonts w:cs="Arial"/>
          <w:b/>
          <w:color w:val="FF33CC"/>
          <w:sz w:val="28"/>
          <w:szCs w:val="28"/>
        </w:rPr>
      </w:pPr>
    </w:p>
    <w:p w:rsidR="009517F9" w:rsidRPr="0009367F" w:rsidRDefault="00963870" w:rsidP="003D5F10">
      <w:pPr>
        <w:spacing w:after="100" w:afterAutospacing="1" w:line="240" w:lineRule="auto"/>
        <w:contextualSpacing/>
        <w:rPr>
          <w:rFonts w:cs="Arial"/>
          <w:color w:val="F79646"/>
          <w:sz w:val="28"/>
          <w:szCs w:val="28"/>
        </w:rPr>
      </w:pPr>
      <w:r w:rsidRPr="0009367F">
        <w:rPr>
          <w:rFonts w:cs="Arial"/>
          <w:sz w:val="28"/>
          <w:szCs w:val="28"/>
        </w:rPr>
        <w:t>Telephone:</w:t>
      </w:r>
      <w:r w:rsidRPr="0009367F">
        <w:rPr>
          <w:rFonts w:cs="Arial"/>
          <w:sz w:val="28"/>
          <w:szCs w:val="28"/>
        </w:rPr>
        <w:tab/>
        <w:t xml:space="preserve"> </w:t>
      </w:r>
      <w:r w:rsidR="005B3F9E" w:rsidRPr="0009367F">
        <w:rPr>
          <w:rFonts w:cs="Arial"/>
          <w:sz w:val="28"/>
          <w:szCs w:val="28"/>
        </w:rPr>
        <w:t>0151 480 8873</w:t>
      </w:r>
      <w:r w:rsidR="0090334E" w:rsidRPr="0009367F">
        <w:rPr>
          <w:rFonts w:cs="Arial"/>
          <w:sz w:val="28"/>
          <w:szCs w:val="28"/>
        </w:rPr>
        <w:tab/>
      </w:r>
      <w:r w:rsidRPr="0009367F">
        <w:rPr>
          <w:rFonts w:cs="Arial"/>
          <w:sz w:val="28"/>
          <w:szCs w:val="28"/>
        </w:rPr>
        <w:t xml:space="preserve">Email: </w:t>
      </w:r>
      <w:hyperlink r:id="rId7" w:history="1">
        <w:r w:rsidR="00DD740F" w:rsidRPr="0009367F">
          <w:rPr>
            <w:rStyle w:val="Hyperlink"/>
            <w:rFonts w:cs="Arial"/>
            <w:sz w:val="28"/>
            <w:szCs w:val="28"/>
          </w:rPr>
          <w:t>andy.gilbert@kdc.org.uk</w:t>
        </w:r>
      </w:hyperlink>
    </w:p>
    <w:p w:rsidR="009517F9" w:rsidRPr="0009367F" w:rsidRDefault="009517F9" w:rsidP="003D5F10">
      <w:pPr>
        <w:spacing w:after="100" w:afterAutospacing="1" w:line="240" w:lineRule="auto"/>
        <w:contextualSpacing/>
        <w:rPr>
          <w:rStyle w:val="Hyperlink"/>
          <w:rFonts w:cs="Arial"/>
          <w:color w:val="F79646"/>
          <w:sz w:val="28"/>
          <w:szCs w:val="28"/>
        </w:rPr>
      </w:pPr>
      <w:r w:rsidRPr="0009367F">
        <w:rPr>
          <w:rFonts w:cs="Arial"/>
          <w:sz w:val="28"/>
          <w:szCs w:val="28"/>
        </w:rPr>
        <w:t>You can find this Fact</w:t>
      </w:r>
      <w:r w:rsidR="00C80E4C" w:rsidRPr="0009367F">
        <w:rPr>
          <w:rFonts w:cs="Arial"/>
          <w:sz w:val="28"/>
          <w:szCs w:val="28"/>
        </w:rPr>
        <w:t xml:space="preserve"> </w:t>
      </w:r>
      <w:r w:rsidRPr="0009367F">
        <w:rPr>
          <w:rFonts w:cs="Arial"/>
          <w:sz w:val="28"/>
          <w:szCs w:val="28"/>
        </w:rPr>
        <w:t xml:space="preserve">sheet along with others covering a variety of topics by visiting us at </w:t>
      </w:r>
      <w:hyperlink r:id="rId8" w:history="1">
        <w:r w:rsidRPr="0009367F">
          <w:rPr>
            <w:rStyle w:val="Hyperlink"/>
            <w:rFonts w:cs="Arial"/>
            <w:b/>
            <w:color w:val="F79646"/>
            <w:sz w:val="28"/>
            <w:szCs w:val="28"/>
          </w:rPr>
          <w:t>www.kdc.org.uk</w:t>
        </w:r>
      </w:hyperlink>
    </w:p>
    <w:p w:rsidR="00320C95" w:rsidRPr="0009367F" w:rsidRDefault="00320C95" w:rsidP="003D5F10">
      <w:pPr>
        <w:spacing w:after="100" w:afterAutospacing="1" w:line="240" w:lineRule="auto"/>
        <w:contextualSpacing/>
        <w:rPr>
          <w:rStyle w:val="Hyperlink"/>
          <w:rFonts w:cs="Arial"/>
          <w:color w:val="F79646"/>
          <w:sz w:val="28"/>
          <w:szCs w:val="28"/>
        </w:rPr>
      </w:pPr>
    </w:p>
    <w:p w:rsidR="00320C95" w:rsidRPr="0009367F" w:rsidRDefault="00320C95" w:rsidP="003D5F10">
      <w:pPr>
        <w:spacing w:after="100" w:afterAutospacing="1" w:line="240" w:lineRule="auto"/>
        <w:contextualSpacing/>
        <w:rPr>
          <w:rStyle w:val="Hyperlink"/>
          <w:rFonts w:cs="Arial"/>
          <w:color w:val="F79646"/>
          <w:sz w:val="28"/>
          <w:szCs w:val="28"/>
        </w:rPr>
      </w:pPr>
    </w:p>
    <w:p w:rsidR="00320C95" w:rsidRPr="0009367F" w:rsidRDefault="00320C95" w:rsidP="003D5F10">
      <w:pPr>
        <w:spacing w:after="100" w:afterAutospacing="1" w:line="240" w:lineRule="auto"/>
        <w:contextualSpacing/>
        <w:rPr>
          <w:rStyle w:val="Hyperlink"/>
          <w:rFonts w:cs="Arial"/>
          <w:color w:val="F79646"/>
          <w:sz w:val="28"/>
          <w:szCs w:val="28"/>
        </w:rPr>
      </w:pPr>
    </w:p>
    <w:p w:rsidR="00241F28" w:rsidRPr="0009367F" w:rsidRDefault="00AD6F72" w:rsidP="003D5F10">
      <w:pPr>
        <w:spacing w:after="100" w:afterAutospacing="1" w:line="240" w:lineRule="auto"/>
        <w:contextualSpacing/>
        <w:rPr>
          <w:rFonts w:cs="Arial"/>
          <w:color w:val="F79646"/>
          <w:sz w:val="28"/>
          <w:szCs w:val="28"/>
        </w:rPr>
      </w:pPr>
      <w:r>
        <w:rPr>
          <w:noProof/>
          <w:sz w:val="20"/>
          <w:lang w:eastAsia="en-GB"/>
        </w:rPr>
        <w:drawing>
          <wp:inline distT="0" distB="0" distL="0" distR="0">
            <wp:extent cx="733425" cy="628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11850" t="22488" r="15765" b="28613"/>
                    <a:stretch>
                      <a:fillRect/>
                    </a:stretch>
                  </pic:blipFill>
                  <pic:spPr bwMode="auto">
                    <a:xfrm>
                      <a:off x="0" y="0"/>
                      <a:ext cx="733425" cy="628650"/>
                    </a:xfrm>
                    <a:prstGeom prst="rect">
                      <a:avLst/>
                    </a:prstGeom>
                    <a:noFill/>
                    <a:ln>
                      <a:noFill/>
                    </a:ln>
                  </pic:spPr>
                </pic:pic>
              </a:graphicData>
            </a:graphic>
          </wp:inline>
        </w:drawing>
      </w:r>
      <w:r w:rsidR="00241F28" w:rsidRPr="0009367F">
        <w:rPr>
          <w:rFonts w:cs="Arial"/>
          <w:color w:val="F79646"/>
          <w:sz w:val="28"/>
          <w:szCs w:val="28"/>
        </w:rPr>
        <w:tab/>
      </w:r>
      <w:r w:rsidR="00241F28" w:rsidRPr="0009367F">
        <w:rPr>
          <w:rFonts w:cs="Arial"/>
          <w:color w:val="F79646"/>
          <w:sz w:val="28"/>
          <w:szCs w:val="28"/>
        </w:rPr>
        <w:tab/>
      </w:r>
      <w:r w:rsidR="00704A60">
        <w:rPr>
          <w:rFonts w:cs="Arial"/>
          <w:color w:val="F79646"/>
          <w:sz w:val="28"/>
          <w:szCs w:val="28"/>
        </w:rPr>
        <w:tab/>
      </w:r>
      <w:r w:rsidR="00757D1C" w:rsidRPr="0009367F">
        <w:rPr>
          <w:rFonts w:cs="Arial"/>
          <w:color w:val="F79646"/>
          <w:sz w:val="28"/>
          <w:szCs w:val="28"/>
        </w:rPr>
        <w:tab/>
      </w:r>
      <w:r w:rsidR="00757D1C" w:rsidRPr="0009367F">
        <w:rPr>
          <w:rFonts w:cs="Arial"/>
          <w:color w:val="F79646"/>
          <w:sz w:val="28"/>
          <w:szCs w:val="28"/>
        </w:rPr>
        <w:tab/>
      </w:r>
      <w:r w:rsidR="00241F28" w:rsidRPr="0009367F">
        <w:rPr>
          <w:rFonts w:cs="Arial"/>
          <w:color w:val="F79646"/>
          <w:sz w:val="28"/>
          <w:szCs w:val="28"/>
        </w:rPr>
        <w:tab/>
      </w:r>
      <w:r w:rsidR="005D549D" w:rsidRPr="0009367F">
        <w:rPr>
          <w:rFonts w:cs="Arial"/>
          <w:color w:val="F79646"/>
          <w:sz w:val="28"/>
          <w:szCs w:val="28"/>
        </w:rPr>
        <w:tab/>
      </w:r>
      <w:r w:rsidR="00591A6B" w:rsidRPr="0009367F">
        <w:rPr>
          <w:rFonts w:cs="Arial"/>
          <w:color w:val="F79646"/>
          <w:sz w:val="28"/>
          <w:szCs w:val="28"/>
        </w:rPr>
        <w:tab/>
      </w:r>
      <w:r w:rsidR="00DD740F" w:rsidRPr="0009367F">
        <w:rPr>
          <w:rFonts w:cs="Arial"/>
          <w:color w:val="F79646"/>
          <w:sz w:val="28"/>
          <w:szCs w:val="28"/>
        </w:rPr>
        <w:tab/>
      </w:r>
      <w:r>
        <w:rPr>
          <w:rFonts w:cs="Arial"/>
          <w:noProof/>
          <w:szCs w:val="24"/>
          <w:lang w:eastAsia="en-GB"/>
        </w:rPr>
        <w:drawing>
          <wp:inline distT="0" distB="0" distL="0" distR="0">
            <wp:extent cx="723900" cy="62865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l="13684" t="22289" r="13507" b="28613"/>
                    <a:stretch>
                      <a:fillRect/>
                    </a:stretch>
                  </pic:blipFill>
                  <pic:spPr bwMode="auto">
                    <a:xfrm>
                      <a:off x="0" y="0"/>
                      <a:ext cx="723900" cy="628650"/>
                    </a:xfrm>
                    <a:prstGeom prst="rect">
                      <a:avLst/>
                    </a:prstGeom>
                    <a:noFill/>
                    <a:ln>
                      <a:noFill/>
                    </a:ln>
                  </pic:spPr>
                </pic:pic>
              </a:graphicData>
            </a:graphic>
          </wp:inline>
        </w:drawing>
      </w:r>
    </w:p>
    <w:sectPr w:rsidR="00241F28" w:rsidRPr="0009367F" w:rsidSect="008E25E1">
      <w:headerReference w:type="default" r:id="rId11"/>
      <w:footerReference w:type="default" r:id="rId12"/>
      <w:pgSz w:w="11906" w:h="16838" w:code="9"/>
      <w:pgMar w:top="1134" w:right="1700" w:bottom="1134"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67F" w:rsidRDefault="0009367F" w:rsidP="00C26A2C">
      <w:pPr>
        <w:spacing w:after="0" w:line="240" w:lineRule="auto"/>
      </w:pPr>
      <w:r>
        <w:separator/>
      </w:r>
    </w:p>
  </w:endnote>
  <w:endnote w:type="continuationSeparator" w:id="0">
    <w:p w:rsidR="0009367F" w:rsidRDefault="0009367F" w:rsidP="00C26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7C2" w:rsidRPr="00320C95" w:rsidRDefault="00320C95" w:rsidP="00320C95">
    <w:pPr>
      <w:pStyle w:val="Footer"/>
      <w:jc w:val="right"/>
      <w:rPr>
        <w:rFonts w:ascii="Arial" w:hAnsi="Arial" w:cs="Arial"/>
        <w:sz w:val="14"/>
      </w:rPr>
    </w:pPr>
    <w:r>
      <w:rPr>
        <w:sz w:val="14"/>
      </w:rPr>
      <w:t xml:space="preserve">#8_ Mental Health &amp; Direct Payment </w:t>
    </w:r>
    <w:r w:rsidR="003C7545">
      <w:rPr>
        <w:sz w:val="14"/>
      </w:rPr>
      <w:t>April 2015</w:t>
    </w:r>
    <w:r>
      <w:rPr>
        <w:sz w:val="14"/>
      </w:rPr>
      <w:tab/>
    </w:r>
    <w:r>
      <w:rPr>
        <w:sz w:val="14"/>
      </w:rPr>
      <w:tab/>
    </w:r>
    <w:r w:rsidR="002C07C2" w:rsidRPr="00C26A2C">
      <w:rPr>
        <w:rFonts w:ascii="Arial" w:hAnsi="Arial" w:cs="Arial"/>
        <w:sz w:val="14"/>
      </w:rPr>
      <w:t xml:space="preserve">Page </w:t>
    </w:r>
    <w:r w:rsidR="002C07C2" w:rsidRPr="00C26A2C">
      <w:rPr>
        <w:rFonts w:ascii="Arial" w:hAnsi="Arial" w:cs="Arial"/>
        <w:b/>
        <w:bCs/>
        <w:sz w:val="14"/>
      </w:rPr>
      <w:fldChar w:fldCharType="begin"/>
    </w:r>
    <w:r w:rsidR="002C07C2" w:rsidRPr="00C26A2C">
      <w:rPr>
        <w:rFonts w:ascii="Arial" w:hAnsi="Arial" w:cs="Arial"/>
        <w:b/>
        <w:bCs/>
        <w:sz w:val="14"/>
      </w:rPr>
      <w:instrText xml:space="preserve"> PAGE </w:instrText>
    </w:r>
    <w:r w:rsidR="002C07C2" w:rsidRPr="00C26A2C">
      <w:rPr>
        <w:rFonts w:ascii="Arial" w:hAnsi="Arial" w:cs="Arial"/>
        <w:b/>
        <w:bCs/>
        <w:sz w:val="14"/>
      </w:rPr>
      <w:fldChar w:fldCharType="separate"/>
    </w:r>
    <w:r w:rsidR="006E7A35">
      <w:rPr>
        <w:rFonts w:ascii="Arial" w:hAnsi="Arial" w:cs="Arial"/>
        <w:b/>
        <w:bCs/>
        <w:noProof/>
        <w:sz w:val="14"/>
      </w:rPr>
      <w:t>1</w:t>
    </w:r>
    <w:r w:rsidR="002C07C2" w:rsidRPr="00C26A2C">
      <w:rPr>
        <w:rFonts w:ascii="Arial" w:hAnsi="Arial" w:cs="Arial"/>
        <w:b/>
        <w:bCs/>
        <w:sz w:val="14"/>
      </w:rPr>
      <w:fldChar w:fldCharType="end"/>
    </w:r>
    <w:r w:rsidR="002C07C2" w:rsidRPr="00C26A2C">
      <w:rPr>
        <w:rFonts w:ascii="Arial" w:hAnsi="Arial" w:cs="Arial"/>
        <w:sz w:val="14"/>
      </w:rPr>
      <w:t xml:space="preserve"> of </w:t>
    </w:r>
    <w:r w:rsidR="002C07C2" w:rsidRPr="00C26A2C">
      <w:rPr>
        <w:rFonts w:ascii="Arial" w:hAnsi="Arial" w:cs="Arial"/>
        <w:b/>
        <w:bCs/>
        <w:sz w:val="14"/>
      </w:rPr>
      <w:fldChar w:fldCharType="begin"/>
    </w:r>
    <w:r w:rsidR="002C07C2" w:rsidRPr="00C26A2C">
      <w:rPr>
        <w:rFonts w:ascii="Arial" w:hAnsi="Arial" w:cs="Arial"/>
        <w:b/>
        <w:bCs/>
        <w:sz w:val="14"/>
      </w:rPr>
      <w:instrText xml:space="preserve"> NUMPAGES  </w:instrText>
    </w:r>
    <w:r w:rsidR="002C07C2" w:rsidRPr="00C26A2C">
      <w:rPr>
        <w:rFonts w:ascii="Arial" w:hAnsi="Arial" w:cs="Arial"/>
        <w:b/>
        <w:bCs/>
        <w:sz w:val="14"/>
      </w:rPr>
      <w:fldChar w:fldCharType="separate"/>
    </w:r>
    <w:r w:rsidR="006E7A35">
      <w:rPr>
        <w:rFonts w:ascii="Arial" w:hAnsi="Arial" w:cs="Arial"/>
        <w:b/>
        <w:bCs/>
        <w:noProof/>
        <w:sz w:val="14"/>
      </w:rPr>
      <w:t>3</w:t>
    </w:r>
    <w:r w:rsidR="002C07C2" w:rsidRPr="00C26A2C">
      <w:rPr>
        <w:rFonts w:ascii="Arial" w:hAnsi="Arial" w:cs="Arial"/>
        <w:b/>
        <w:bCs/>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67F" w:rsidRDefault="0009367F" w:rsidP="00C26A2C">
      <w:pPr>
        <w:spacing w:after="0" w:line="240" w:lineRule="auto"/>
      </w:pPr>
      <w:r>
        <w:separator/>
      </w:r>
    </w:p>
  </w:footnote>
  <w:footnote w:type="continuationSeparator" w:id="0">
    <w:p w:rsidR="0009367F" w:rsidRDefault="0009367F" w:rsidP="00C26A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BB3" w:rsidRDefault="00363BB3">
    <w:pPr>
      <w:pStyle w:val="Header"/>
    </w:pPr>
  </w:p>
  <w:p w:rsidR="002C07C2" w:rsidRDefault="002C07C2">
    <w:pPr>
      <w:pStyle w:val="Header"/>
      <w:rPr>
        <w:noProof/>
        <w:lang w:eastAsia="en-GB"/>
      </w:rPr>
    </w:pPr>
    <w:r>
      <w:tab/>
    </w:r>
    <w:r>
      <w:tab/>
    </w:r>
    <w:r w:rsidR="00AD6F72">
      <w:rPr>
        <w:noProof/>
        <w:lang w:eastAsia="en-GB"/>
      </w:rPr>
      <w:drawing>
        <wp:inline distT="0" distB="0" distL="0" distR="0">
          <wp:extent cx="2209800" cy="762000"/>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762000"/>
                  </a:xfrm>
                  <a:prstGeom prst="rect">
                    <a:avLst/>
                  </a:prstGeom>
                  <a:noFill/>
                  <a:ln>
                    <a:noFill/>
                  </a:ln>
                </pic:spPr>
              </pic:pic>
            </a:graphicData>
          </a:graphic>
        </wp:inline>
      </w:drawing>
    </w:r>
  </w:p>
  <w:p w:rsidR="00320C95" w:rsidRDefault="00320C95">
    <w:pPr>
      <w:pStyle w:val="Header"/>
      <w:rPr>
        <w:noProof/>
        <w:lang w:eastAsia="en-GB"/>
      </w:rPr>
    </w:pPr>
  </w:p>
  <w:p w:rsidR="00320C95" w:rsidRDefault="00320C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97F96"/>
    <w:multiLevelType w:val="hybridMultilevel"/>
    <w:tmpl w:val="C61CBF34"/>
    <w:lvl w:ilvl="0" w:tplc="15107F4E">
      <w:start w:val="1"/>
      <w:numFmt w:val="bullet"/>
      <w:lvlText w:val=""/>
      <w:lvlJc w:val="left"/>
      <w:pPr>
        <w:tabs>
          <w:tab w:val="num" w:pos="360"/>
        </w:tabs>
        <w:ind w:left="360" w:hanging="360"/>
      </w:pPr>
      <w:rPr>
        <w:rFonts w:ascii="Symbol" w:hAnsi="Symbol" w:hint="default"/>
        <w:b w:val="0"/>
        <w:i w:val="0"/>
        <w:sz w:val="24"/>
        <w:szCs w:val="24"/>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23B644DA"/>
    <w:multiLevelType w:val="hybridMultilevel"/>
    <w:tmpl w:val="91DAC5E6"/>
    <w:lvl w:ilvl="0" w:tplc="9280D3B6">
      <w:start w:val="1"/>
      <w:numFmt w:val="decimal"/>
      <w:pStyle w:val="Notesnumberedbullet"/>
      <w:lvlText w:val="%1."/>
      <w:lvlJc w:val="left"/>
      <w:pPr>
        <w:ind w:left="360" w:hanging="360"/>
      </w:pPr>
      <w:rPr>
        <w:b w:val="0"/>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47845C37"/>
    <w:multiLevelType w:val="hybridMultilevel"/>
    <w:tmpl w:val="DC9247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EB055BF"/>
    <w:multiLevelType w:val="hybridMultilevel"/>
    <w:tmpl w:val="B09E09B2"/>
    <w:lvl w:ilvl="0" w:tplc="15107F4E">
      <w:start w:val="1"/>
      <w:numFmt w:val="bullet"/>
      <w:lvlText w:val=""/>
      <w:lvlJc w:val="left"/>
      <w:pPr>
        <w:tabs>
          <w:tab w:val="num" w:pos="360"/>
        </w:tabs>
        <w:ind w:left="360" w:hanging="360"/>
      </w:pPr>
      <w:rPr>
        <w:rFonts w:ascii="Symbol" w:hAnsi="Symbol" w:hint="default"/>
        <w:b w:val="0"/>
        <w:i w:val="0"/>
        <w:sz w:val="24"/>
        <w:szCs w:val="24"/>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61FD6456"/>
    <w:multiLevelType w:val="hybridMultilevel"/>
    <w:tmpl w:val="2CC00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F01"/>
    <w:rsid w:val="00013A0A"/>
    <w:rsid w:val="0009367F"/>
    <w:rsid w:val="00123CCA"/>
    <w:rsid w:val="0012475D"/>
    <w:rsid w:val="00152581"/>
    <w:rsid w:val="0017008F"/>
    <w:rsid w:val="00171159"/>
    <w:rsid w:val="00186D94"/>
    <w:rsid w:val="0018780E"/>
    <w:rsid w:val="001B2509"/>
    <w:rsid w:val="001C702F"/>
    <w:rsid w:val="00241F28"/>
    <w:rsid w:val="00253AF2"/>
    <w:rsid w:val="002C07C2"/>
    <w:rsid w:val="002F4C27"/>
    <w:rsid w:val="002F7129"/>
    <w:rsid w:val="00302A3B"/>
    <w:rsid w:val="00320C95"/>
    <w:rsid w:val="00334F2B"/>
    <w:rsid w:val="00351BE2"/>
    <w:rsid w:val="00363BB3"/>
    <w:rsid w:val="00370F13"/>
    <w:rsid w:val="00371ECD"/>
    <w:rsid w:val="003B7382"/>
    <w:rsid w:val="003C5C63"/>
    <w:rsid w:val="003C7545"/>
    <w:rsid w:val="003D5F10"/>
    <w:rsid w:val="0042457D"/>
    <w:rsid w:val="00474BF0"/>
    <w:rsid w:val="004E0478"/>
    <w:rsid w:val="004F0E2B"/>
    <w:rsid w:val="00520441"/>
    <w:rsid w:val="005812A2"/>
    <w:rsid w:val="005832AB"/>
    <w:rsid w:val="0059080E"/>
    <w:rsid w:val="00591A6B"/>
    <w:rsid w:val="005B3F9E"/>
    <w:rsid w:val="005D0D46"/>
    <w:rsid w:val="005D549D"/>
    <w:rsid w:val="005E144A"/>
    <w:rsid w:val="005E4B36"/>
    <w:rsid w:val="005F14B6"/>
    <w:rsid w:val="00600042"/>
    <w:rsid w:val="0066275D"/>
    <w:rsid w:val="00664F01"/>
    <w:rsid w:val="00670F63"/>
    <w:rsid w:val="0067112D"/>
    <w:rsid w:val="006B2613"/>
    <w:rsid w:val="006C5C6A"/>
    <w:rsid w:val="006C72BC"/>
    <w:rsid w:val="006E7A35"/>
    <w:rsid w:val="00704A60"/>
    <w:rsid w:val="00713C72"/>
    <w:rsid w:val="007511F3"/>
    <w:rsid w:val="00757D1C"/>
    <w:rsid w:val="00765AE8"/>
    <w:rsid w:val="00775ACE"/>
    <w:rsid w:val="00791452"/>
    <w:rsid w:val="007C7842"/>
    <w:rsid w:val="007E4CB2"/>
    <w:rsid w:val="007E6826"/>
    <w:rsid w:val="00803326"/>
    <w:rsid w:val="00811B6A"/>
    <w:rsid w:val="00812BD6"/>
    <w:rsid w:val="00827B7B"/>
    <w:rsid w:val="00862CFE"/>
    <w:rsid w:val="00866A29"/>
    <w:rsid w:val="00885F00"/>
    <w:rsid w:val="008D3C9D"/>
    <w:rsid w:val="008E25E1"/>
    <w:rsid w:val="0090334E"/>
    <w:rsid w:val="00904C41"/>
    <w:rsid w:val="009517F9"/>
    <w:rsid w:val="00963870"/>
    <w:rsid w:val="009A4D85"/>
    <w:rsid w:val="00A433CD"/>
    <w:rsid w:val="00AB3577"/>
    <w:rsid w:val="00AD6F72"/>
    <w:rsid w:val="00AE2D3E"/>
    <w:rsid w:val="00AE4630"/>
    <w:rsid w:val="00B025B8"/>
    <w:rsid w:val="00B35319"/>
    <w:rsid w:val="00BB2791"/>
    <w:rsid w:val="00BE761A"/>
    <w:rsid w:val="00C07D7F"/>
    <w:rsid w:val="00C26A2C"/>
    <w:rsid w:val="00C561CC"/>
    <w:rsid w:val="00C61FC7"/>
    <w:rsid w:val="00C80E4C"/>
    <w:rsid w:val="00C83F40"/>
    <w:rsid w:val="00C87B7B"/>
    <w:rsid w:val="00C90206"/>
    <w:rsid w:val="00C90E19"/>
    <w:rsid w:val="00CA4D63"/>
    <w:rsid w:val="00CB211E"/>
    <w:rsid w:val="00D25D76"/>
    <w:rsid w:val="00D66DDB"/>
    <w:rsid w:val="00D67AB8"/>
    <w:rsid w:val="00DC053C"/>
    <w:rsid w:val="00DC127C"/>
    <w:rsid w:val="00DD740F"/>
    <w:rsid w:val="00DF1582"/>
    <w:rsid w:val="00E00390"/>
    <w:rsid w:val="00E37302"/>
    <w:rsid w:val="00E50044"/>
    <w:rsid w:val="00E5538E"/>
    <w:rsid w:val="00E63639"/>
    <w:rsid w:val="00E84A84"/>
    <w:rsid w:val="00EA7C47"/>
    <w:rsid w:val="00EC6005"/>
    <w:rsid w:val="00ED1991"/>
    <w:rsid w:val="00ED385F"/>
    <w:rsid w:val="00F213FD"/>
    <w:rsid w:val="00F507C1"/>
    <w:rsid w:val="00F674EF"/>
    <w:rsid w:val="00FC4401"/>
    <w:rsid w:val="00FD0FE9"/>
    <w:rsid w:val="00FE5234"/>
    <w:rsid w:val="00FF3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5:docId w15:val="{EACAEA66-5CB8-474E-B372-AC8008B3B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D4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26A2C"/>
    <w:rPr>
      <w:rFonts w:cs="Times New Roman"/>
      <w:color w:val="0000FF"/>
      <w:u w:val="single"/>
    </w:rPr>
  </w:style>
  <w:style w:type="paragraph" w:styleId="BalloonText">
    <w:name w:val="Balloon Text"/>
    <w:basedOn w:val="Normal"/>
    <w:link w:val="BalloonTextChar"/>
    <w:uiPriority w:val="99"/>
    <w:semiHidden/>
    <w:unhideWhenUsed/>
    <w:rsid w:val="00C26A2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26A2C"/>
    <w:rPr>
      <w:rFonts w:ascii="Tahoma" w:hAnsi="Tahoma" w:cs="Tahoma"/>
      <w:sz w:val="16"/>
      <w:szCs w:val="16"/>
    </w:rPr>
  </w:style>
  <w:style w:type="paragraph" w:styleId="Header">
    <w:name w:val="header"/>
    <w:basedOn w:val="Normal"/>
    <w:link w:val="HeaderChar"/>
    <w:uiPriority w:val="99"/>
    <w:unhideWhenUsed/>
    <w:rsid w:val="00C26A2C"/>
    <w:pPr>
      <w:tabs>
        <w:tab w:val="center" w:pos="4513"/>
        <w:tab w:val="right" w:pos="9026"/>
      </w:tabs>
      <w:spacing w:after="0" w:line="240" w:lineRule="auto"/>
    </w:pPr>
  </w:style>
  <w:style w:type="character" w:customStyle="1" w:styleId="HeaderChar">
    <w:name w:val="Header Char"/>
    <w:link w:val="Header"/>
    <w:uiPriority w:val="99"/>
    <w:locked/>
    <w:rsid w:val="00C26A2C"/>
    <w:rPr>
      <w:rFonts w:cs="Times New Roman"/>
    </w:rPr>
  </w:style>
  <w:style w:type="paragraph" w:styleId="Footer">
    <w:name w:val="footer"/>
    <w:basedOn w:val="Normal"/>
    <w:link w:val="FooterChar"/>
    <w:uiPriority w:val="99"/>
    <w:unhideWhenUsed/>
    <w:rsid w:val="00C26A2C"/>
    <w:pPr>
      <w:tabs>
        <w:tab w:val="center" w:pos="4513"/>
        <w:tab w:val="right" w:pos="9026"/>
      </w:tabs>
      <w:spacing w:after="0" w:line="240" w:lineRule="auto"/>
    </w:pPr>
  </w:style>
  <w:style w:type="character" w:customStyle="1" w:styleId="FooterChar">
    <w:name w:val="Footer Char"/>
    <w:link w:val="Footer"/>
    <w:uiPriority w:val="99"/>
    <w:locked/>
    <w:rsid w:val="00C26A2C"/>
    <w:rPr>
      <w:rFonts w:cs="Times New Roman"/>
    </w:rPr>
  </w:style>
  <w:style w:type="paragraph" w:styleId="ListParagraph">
    <w:name w:val="List Paragraph"/>
    <w:basedOn w:val="Normal"/>
    <w:uiPriority w:val="34"/>
    <w:qFormat/>
    <w:rsid w:val="00862CFE"/>
    <w:pPr>
      <w:ind w:left="720"/>
      <w:contextualSpacing/>
    </w:pPr>
  </w:style>
  <w:style w:type="paragraph" w:customStyle="1" w:styleId="Notesnumberedbullet">
    <w:name w:val="Notes numbered bullet"/>
    <w:basedOn w:val="Normal"/>
    <w:qFormat/>
    <w:rsid w:val="003C7545"/>
    <w:pPr>
      <w:numPr>
        <w:numId w:val="5"/>
      </w:numPr>
      <w:tabs>
        <w:tab w:val="left" w:pos="426"/>
      </w:tabs>
      <w:spacing w:after="120" w:line="240" w:lineRule="auto"/>
      <w:ind w:left="714" w:hanging="357"/>
    </w:pPr>
    <w:rPr>
      <w:rFonts w:ascii="Arial" w:hAnsi="Arial" w:cs="Arial"/>
      <w:color w:val="000000"/>
      <w:sz w:val="24"/>
      <w:szCs w:val="24"/>
      <w:lang w:val="en-US" w:eastAsia="en-GB"/>
    </w:rPr>
  </w:style>
  <w:style w:type="paragraph" w:customStyle="1" w:styleId="Default">
    <w:name w:val="Default"/>
    <w:rsid w:val="003C7545"/>
    <w:pPr>
      <w:autoSpaceDE w:val="0"/>
      <w:autoSpaceDN w:val="0"/>
      <w:adjustRightInd w:val="0"/>
    </w:pPr>
    <w:rPr>
      <w:rFonts w:ascii="HelveticaNeueLT Std Lt" w:hAnsi="HelveticaNeueLT Std Lt" w:cs="HelveticaNeueLT Std 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27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dc.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dy.gilbert@kdc.org.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4224</Characters>
  <Application>Microsoft Office Word</Application>
  <DocSecurity>8</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4955</CharactersWithSpaces>
  <SharedDoc>false</SharedDoc>
  <HLinks>
    <vt:vector size="12" baseType="variant">
      <vt:variant>
        <vt:i4>7405613</vt:i4>
      </vt:variant>
      <vt:variant>
        <vt:i4>3</vt:i4>
      </vt:variant>
      <vt:variant>
        <vt:i4>0</vt:i4>
      </vt:variant>
      <vt:variant>
        <vt:i4>5</vt:i4>
      </vt:variant>
      <vt:variant>
        <vt:lpwstr>http://www.kdc.org.uk/</vt:lpwstr>
      </vt:variant>
      <vt:variant>
        <vt:lpwstr/>
      </vt:variant>
      <vt:variant>
        <vt:i4>852018</vt:i4>
      </vt:variant>
      <vt:variant>
        <vt:i4>0</vt:i4>
      </vt:variant>
      <vt:variant>
        <vt:i4>0</vt:i4>
      </vt:variant>
      <vt:variant>
        <vt:i4>5</vt:i4>
      </vt:variant>
      <vt:variant>
        <vt:lpwstr>mailto:andy.gilbert@kdc.org.uk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baker</dc:creator>
  <cp:lastModifiedBy>Johanne Ross</cp:lastModifiedBy>
  <cp:revision>4</cp:revision>
  <cp:lastPrinted>2015-06-17T12:25:00Z</cp:lastPrinted>
  <dcterms:created xsi:type="dcterms:W3CDTF">2015-06-17T12:22:00Z</dcterms:created>
  <dcterms:modified xsi:type="dcterms:W3CDTF">2015-06-17T12:26:00Z</dcterms:modified>
</cp:coreProperties>
</file>